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7B" w:rsidRDefault="00866730">
      <w:pPr>
        <w:spacing w:after="0"/>
        <w:ind w:left="120"/>
        <w:jc w:val="center"/>
      </w:pPr>
      <w:bookmarkStart w:id="0" w:name="_GoBack"/>
      <w:bookmarkEnd w:id="0"/>
      <w:r>
        <w:rPr>
          <w:rFonts w:hAnsi="Arial"/>
          <w:b/>
          <w:color w:val="000000"/>
          <w:sz w:val="24"/>
        </w:rPr>
        <w:t>Verkiezing van de leden van de Tweede Kamer der Staten-Generaal</w:t>
      </w:r>
    </w:p>
    <w:p w:rsidR="00BC2C7B" w:rsidRDefault="00866730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BC2C7B" w:rsidRDefault="00866730">
      <w:pPr>
        <w:spacing w:after="0"/>
        <w:ind w:left="120"/>
        <w:jc w:val="center"/>
      </w:pPr>
      <w:r>
        <w:rPr>
          <w:rFonts w:hAnsi="Arial"/>
          <w:b/>
          <w:color w:val="000000"/>
          <w:sz w:val="20"/>
        </w:rPr>
        <w:t>STEMMEN BIJ VOLMACHT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BC2C7B">
        <w:trPr>
          <w:trHeight w:val="30"/>
          <w:tblCellSpacing w:w="0" w:type="auto"/>
        </w:trPr>
        <w:tc>
          <w:tcPr>
            <w:tcW w:w="9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BC2C7B" w:rsidRDefault="00866730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BC2C7B" w:rsidRDefault="00866730">
      <w:pPr>
        <w:spacing w:after="0"/>
        <w:ind w:left="120"/>
      </w:pPr>
      <w:r>
        <w:rPr>
          <w:rFonts w:hAnsi="Arial"/>
          <w:color w:val="000000"/>
          <w:sz w:val="20"/>
        </w:rPr>
        <w:t>De burgemeester van Opmeer maakt bekend dat het bij de</w:t>
      </w:r>
      <w:r>
        <w:rPr>
          <w:rFonts w:hAnsi="Arial"/>
          <w:color w:val="000000"/>
          <w:sz w:val="20"/>
        </w:rPr>
        <w:t xml:space="preserve"> aanstaande verkiezing van de leden van de Tweede Kamer der Staten-Generaal op woensdag 17 maart 2021 een kiezer is toegestaan bij volmacht te stemmen.</w:t>
      </w:r>
    </w:p>
    <w:p w:rsidR="00BC2C7B" w:rsidRDefault="00866730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BC2C7B" w:rsidRDefault="00866730">
      <w:pPr>
        <w:spacing w:after="0"/>
        <w:ind w:left="120"/>
      </w:pPr>
      <w:r>
        <w:rPr>
          <w:rFonts w:hAnsi="Arial"/>
          <w:color w:val="000000"/>
          <w:sz w:val="20"/>
        </w:rPr>
        <w:t>Daarbij gelden de volgende bepalingen: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5"/>
        <w:gridCol w:w="364"/>
        <w:gridCol w:w="8328"/>
      </w:tblGrid>
      <w:tr w:rsidR="00BC2C7B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BC2C7B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A.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MACHTIGING door schriftelijke aanvraag VOLMACHTBEWIJS</w:t>
            </w:r>
          </w:p>
        </w:tc>
      </w:tr>
      <w:tr w:rsidR="00BC2C7B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1.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Bij Bureau Verkiezingen van de gemeente zijn kosteloos formulieren verkrijgbaar voor de verzoekschriften om bij volmacht te mogen stemmen.</w:t>
            </w:r>
          </w:p>
        </w:tc>
      </w:tr>
      <w:tr w:rsidR="00BC2C7B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2.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Het verzoekschrift moet uiterlijk op vrijdag 12 maart 2021 door de kiezer worden ingediend bij de burgem</w:t>
            </w:r>
            <w:r>
              <w:rPr>
                <w:rFonts w:hAnsi="Arial"/>
                <w:color w:val="000000"/>
                <w:sz w:val="20"/>
              </w:rPr>
              <w:t>eester van de gemeente, waar hij/zij op maandag 1 februari 2021 als kiezer is geregistreerd.</w:t>
            </w:r>
          </w:p>
          <w:p w:rsidR="00BC2C7B" w:rsidRDefault="0086673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Het verzoekschrift kan niet worden ingediend door de kiezer aan wie al een kiezerspas is verstrekt of door de kiezer in het buitenland aan wie het is toegestaan om</w:t>
            </w:r>
            <w:r>
              <w:rPr>
                <w:rFonts w:hAnsi="Arial"/>
                <w:color w:val="000000"/>
                <w:sz w:val="20"/>
              </w:rPr>
              <w:t xml:space="preserve"> per brief te stemmen.</w:t>
            </w:r>
          </w:p>
        </w:tc>
      </w:tr>
      <w:tr w:rsidR="00BC2C7B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3.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Degene die zich bereid heeft verklaard als gemachtigde op te treden, moet op maandag 1 februari 2021 als kiezer zijn geregistreerd binnen het gebied waarvoor de verkiezing geldt.</w:t>
            </w:r>
          </w:p>
        </w:tc>
      </w:tr>
      <w:tr w:rsidR="00BC2C7B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4.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Bij inwilliging van het verzoek ontvangt </w:t>
            </w:r>
            <w:r>
              <w:rPr>
                <w:rFonts w:hAnsi="Arial"/>
                <w:color w:val="000000"/>
                <w:sz w:val="20"/>
              </w:rPr>
              <w:t xml:space="preserve">de gemachtigde een </w:t>
            </w:r>
            <w:proofErr w:type="spellStart"/>
            <w:r>
              <w:rPr>
                <w:rFonts w:hAnsi="Arial"/>
                <w:color w:val="000000"/>
                <w:sz w:val="20"/>
              </w:rPr>
              <w:t>volmachtbewijs</w:t>
            </w:r>
            <w:proofErr w:type="spellEnd"/>
            <w:r>
              <w:rPr>
                <w:rFonts w:hAnsi="Arial"/>
                <w:color w:val="000000"/>
                <w:sz w:val="20"/>
              </w:rPr>
              <w:t>.</w:t>
            </w:r>
          </w:p>
        </w:tc>
      </w:tr>
      <w:tr w:rsidR="00BC2C7B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5.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Een volmachtgever is niet bevoegd de volmacht in te trekken of zelf aan de stemming deel te nemen.</w:t>
            </w:r>
          </w:p>
        </w:tc>
      </w:tr>
      <w:tr w:rsidR="00BC2C7B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BC2C7B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B.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MACHTIGING door overdracht van de STEMPAS of KIEZERSPAS</w:t>
            </w:r>
          </w:p>
        </w:tc>
      </w:tr>
      <w:tr w:rsidR="00BC2C7B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1.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De kiezer kan een andere kiezer die in dezelfde</w:t>
            </w:r>
            <w:r>
              <w:rPr>
                <w:rFonts w:hAnsi="Arial"/>
                <w:color w:val="000000"/>
                <w:sz w:val="20"/>
              </w:rPr>
              <w:t xml:space="preserve"> gemeente als kiezer is geregistreerd, machtigen om voor hem/haar te stemmen.</w:t>
            </w:r>
          </w:p>
        </w:tc>
      </w:tr>
      <w:tr w:rsidR="00BC2C7B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2.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De kiezer tekent daartoe de achterzijde van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of kiezerspas en laat de kaart door de gemachtigde medeondertekenen.</w:t>
            </w:r>
          </w:p>
        </w:tc>
      </w:tr>
      <w:tr w:rsidR="00BC2C7B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3.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De kiezer draagt de, aldus in een </w:t>
            </w:r>
            <w:proofErr w:type="spellStart"/>
            <w:r>
              <w:rPr>
                <w:rFonts w:hAnsi="Arial"/>
                <w:color w:val="000000"/>
                <w:sz w:val="20"/>
              </w:rPr>
              <w:t>volmacht</w:t>
            </w:r>
            <w:r>
              <w:rPr>
                <w:rFonts w:hAnsi="Arial"/>
                <w:color w:val="000000"/>
                <w:sz w:val="20"/>
              </w:rPr>
              <w:t>bewijs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omgezette,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of kiezerspas aan de gemachtigde over.</w:t>
            </w:r>
          </w:p>
        </w:tc>
      </w:tr>
      <w:tr w:rsidR="00BC2C7B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4.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Tevens moet de kiezer een kopie van een geldig identiteitsbewijs aan de gemachtigde meegeven. Dit kopie moet de gemachtigde aan de voorzitter van het stembureau laten zien.</w:t>
            </w:r>
          </w:p>
        </w:tc>
      </w:tr>
      <w:tr w:rsidR="00BC2C7B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5.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Het </w:t>
            </w:r>
            <w:r>
              <w:rPr>
                <w:rFonts w:hAnsi="Arial"/>
                <w:color w:val="000000"/>
                <w:sz w:val="20"/>
              </w:rPr>
              <w:t xml:space="preserve">overdragen, van de in </w:t>
            </w:r>
            <w:proofErr w:type="spellStart"/>
            <w:r>
              <w:rPr>
                <w:rFonts w:hAnsi="Arial"/>
                <w:color w:val="000000"/>
                <w:sz w:val="20"/>
              </w:rPr>
              <w:t>volmachtbewijs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omgezette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of kiezerspas, kan tot en met de dag van de stemming.</w:t>
            </w:r>
          </w:p>
        </w:tc>
      </w:tr>
      <w:tr w:rsidR="00BC2C7B">
        <w:trPr>
          <w:trHeight w:val="30"/>
          <w:tblCellSpacing w:w="0" w:type="auto"/>
        </w:trPr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6.</w:t>
            </w:r>
          </w:p>
        </w:tc>
        <w:tc>
          <w:tcPr>
            <w:tcW w:w="84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Een volmacht dat is verleend door overdracht van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of kiezerspas kan, tot het uitbrengen van een stem door de gemachtigde, door de v</w:t>
            </w:r>
            <w:r>
              <w:rPr>
                <w:rFonts w:hAnsi="Arial"/>
                <w:color w:val="000000"/>
                <w:sz w:val="20"/>
              </w:rPr>
              <w:t>olmachtgever worden ingetrokken.</w:t>
            </w:r>
          </w:p>
        </w:tc>
      </w:tr>
    </w:tbl>
    <w:p w:rsidR="00BC2C7B" w:rsidRDefault="00866730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BC2C7B" w:rsidRDefault="00866730">
      <w:pPr>
        <w:spacing w:after="0"/>
        <w:ind w:left="120"/>
      </w:pPr>
      <w:r>
        <w:rPr>
          <w:rFonts w:hAnsi="Arial"/>
          <w:color w:val="000000"/>
          <w:sz w:val="20"/>
        </w:rPr>
        <w:t xml:space="preserve">Een kiezer mag niet meer dan 3 (drie) volmachten aannemen. De </w:t>
      </w:r>
      <w:proofErr w:type="spellStart"/>
      <w:r>
        <w:rPr>
          <w:rFonts w:hAnsi="Arial"/>
          <w:color w:val="000000"/>
          <w:sz w:val="20"/>
        </w:rPr>
        <w:t>volmachtstem</w:t>
      </w:r>
      <w:proofErr w:type="spellEnd"/>
      <w:r>
        <w:rPr>
          <w:rFonts w:hAnsi="Arial"/>
          <w:color w:val="000000"/>
          <w:sz w:val="20"/>
        </w:rPr>
        <w:t xml:space="preserve"> dient tegelijk met de eigen stem te worden uitgebracht.</w:t>
      </w:r>
    </w:p>
    <w:p w:rsidR="00BC2C7B" w:rsidRDefault="00866730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BC2C7B" w:rsidRDefault="00866730">
      <w:pPr>
        <w:spacing w:after="0"/>
        <w:ind w:left="120"/>
      </w:pPr>
      <w:r>
        <w:rPr>
          <w:rFonts w:hAnsi="Arial"/>
          <w:color w:val="000000"/>
          <w:sz w:val="20"/>
        </w:rPr>
        <w:t>Nadere inlichtingen worden verstrekt door :</w:t>
      </w:r>
    </w:p>
    <w:p w:rsidR="00BC2C7B" w:rsidRDefault="00866730">
      <w:pPr>
        <w:spacing w:after="0"/>
        <w:ind w:left="120"/>
      </w:pPr>
      <w:r>
        <w:rPr>
          <w:rFonts w:hAnsi="Arial"/>
          <w:color w:val="000000"/>
          <w:sz w:val="20"/>
        </w:rPr>
        <w:t>Bureau Verkiezingen</w:t>
      </w:r>
    </w:p>
    <w:p w:rsidR="00BC2C7B" w:rsidRDefault="00866730">
      <w:pPr>
        <w:spacing w:after="0"/>
        <w:ind w:left="120"/>
      </w:pPr>
      <w:r>
        <w:rPr>
          <w:rFonts w:hAnsi="Arial"/>
          <w:color w:val="000000"/>
          <w:sz w:val="20"/>
        </w:rPr>
        <w:t>Klaproos 1</w:t>
      </w:r>
    </w:p>
    <w:p w:rsidR="00BC2C7B" w:rsidRDefault="00866730">
      <w:pPr>
        <w:spacing w:after="0"/>
        <w:ind w:left="120"/>
      </w:pPr>
      <w:r>
        <w:rPr>
          <w:rFonts w:hAnsi="Arial"/>
          <w:color w:val="000000"/>
          <w:sz w:val="20"/>
        </w:rPr>
        <w:t>1716 VS Opme</w:t>
      </w:r>
      <w:r>
        <w:rPr>
          <w:rFonts w:hAnsi="Arial"/>
          <w:color w:val="000000"/>
          <w:sz w:val="20"/>
        </w:rPr>
        <w:t>er</w:t>
      </w:r>
    </w:p>
    <w:p w:rsidR="00BC2C7B" w:rsidRDefault="00866730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18"/>
        <w:gridCol w:w="8139"/>
      </w:tblGrid>
      <w:tr w:rsidR="00BC2C7B">
        <w:trPr>
          <w:trHeight w:val="30"/>
          <w:tblCellSpacing w:w="0" w:type="auto"/>
        </w:trPr>
        <w:tc>
          <w:tcPr>
            <w:tcW w:w="9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Plaats:</w:t>
            </w:r>
          </w:p>
        </w:tc>
        <w:tc>
          <w:tcPr>
            <w:tcW w:w="8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Opmeer</w:t>
            </w:r>
          </w:p>
        </w:tc>
      </w:tr>
      <w:tr w:rsidR="00BC2C7B">
        <w:trPr>
          <w:trHeight w:val="30"/>
          <w:tblCellSpacing w:w="0" w:type="auto"/>
        </w:trPr>
        <w:tc>
          <w:tcPr>
            <w:tcW w:w="9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8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C7B" w:rsidRDefault="00866730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dinsdag 26 januari 2021</w:t>
            </w:r>
          </w:p>
        </w:tc>
      </w:tr>
    </w:tbl>
    <w:p w:rsidR="00BC2C7B" w:rsidRDefault="00866730">
      <w:pPr>
        <w:spacing w:after="0"/>
        <w:ind w:left="120"/>
      </w:pPr>
      <w:r>
        <w:rPr>
          <w:rFonts w:hAnsi="Arial"/>
          <w:color w:val="000000"/>
          <w:sz w:val="20"/>
        </w:rPr>
        <w:lastRenderedPageBreak/>
        <w:t> </w:t>
      </w:r>
    </w:p>
    <w:p w:rsidR="00BC2C7B" w:rsidRDefault="00866730">
      <w:pPr>
        <w:spacing w:after="0"/>
        <w:ind w:left="120"/>
      </w:pPr>
      <w:r>
        <w:rPr>
          <w:rFonts w:hAnsi="Arial"/>
          <w:color w:val="000000"/>
          <w:sz w:val="20"/>
        </w:rPr>
        <w:t>De burgemeester voornoemd,</w:t>
      </w:r>
    </w:p>
    <w:p w:rsidR="00BC2C7B" w:rsidRDefault="00866730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BC2C7B" w:rsidRDefault="00866730">
      <w:pPr>
        <w:spacing w:after="0"/>
        <w:ind w:left="120"/>
      </w:pPr>
      <w:r>
        <w:rPr>
          <w:rFonts w:hAnsi="Arial"/>
          <w:color w:val="000000"/>
          <w:sz w:val="20"/>
        </w:rPr>
        <w:t>G.J.A.M. Nijpels</w:t>
      </w:r>
    </w:p>
    <w:sectPr w:rsidR="00BC2C7B" w:rsidSect="00866730">
      <w:pgSz w:w="11907" w:h="16839" w:code="9"/>
      <w:pgMar w:top="1440" w:right="1440" w:bottom="1440" w:left="1440" w:header="709" w:footer="709" w:gutter="0"/>
      <w:paperSrc w:first="264" w:other="26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30" w:rsidRDefault="00866730" w:rsidP="00866730">
      <w:pPr>
        <w:spacing w:after="0" w:line="240" w:lineRule="auto"/>
      </w:pPr>
      <w:r>
        <w:separator/>
      </w:r>
    </w:p>
  </w:endnote>
  <w:endnote w:type="continuationSeparator" w:id="0">
    <w:p w:rsidR="00866730" w:rsidRDefault="00866730" w:rsidP="0086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30" w:rsidRDefault="00866730" w:rsidP="00866730">
      <w:pPr>
        <w:spacing w:after="0" w:line="240" w:lineRule="auto"/>
      </w:pPr>
      <w:r>
        <w:separator/>
      </w:r>
    </w:p>
  </w:footnote>
  <w:footnote w:type="continuationSeparator" w:id="0">
    <w:p w:rsidR="00866730" w:rsidRDefault="00866730" w:rsidP="00866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C2C7B"/>
    <w:rsid w:val="00866730"/>
    <w:rsid w:val="00B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90BF7B8-C0F2-466E-993F-59E4FB2E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6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Stemmen bij volmacht</vt:lpstr>
    </vt:vector>
  </TitlesOfParts>
  <Company>SSC DeSom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Stemmen bij volmacht</dc:title>
  <dc:subject>Stemmen bij volmacht</dc:subject>
  <dc:creator>Gemeente Opmeer</dc:creator>
  <cp:keywords>TK-2021</cp:keywords>
  <dc:description>Verkiezing Tweede Kamer 2021 - Stemmen bij volmacht</dc:description>
  <cp:lastModifiedBy>Deborah Bakker Wouts</cp:lastModifiedBy>
  <cp:revision>2</cp:revision>
  <cp:lastPrinted>2021-01-26T15:07:00Z</cp:lastPrinted>
  <dcterms:created xsi:type="dcterms:W3CDTF">2021-01-26T15:07:00Z</dcterms:created>
  <dcterms:modified xsi:type="dcterms:W3CDTF">2021-01-26T15:07:00Z</dcterms:modified>
  <cp:category>Openbare kennisgevingen</cp:category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718395-49d7-446a-8106-6756e5d3d588_Enabled">
    <vt:lpwstr>true</vt:lpwstr>
  </property>
  <property fmtid="{D5CDD505-2E9C-101B-9397-08002B2CF9AE}" pid="3" name="MSIP_Label_1a718395-49d7-446a-8106-6756e5d3d588_SetDate">
    <vt:lpwstr>2021-01-26T15:06:38Z</vt:lpwstr>
  </property>
  <property fmtid="{D5CDD505-2E9C-101B-9397-08002B2CF9AE}" pid="4" name="MSIP_Label_1a718395-49d7-446a-8106-6756e5d3d588_Method">
    <vt:lpwstr>Standard</vt:lpwstr>
  </property>
  <property fmtid="{D5CDD505-2E9C-101B-9397-08002B2CF9AE}" pid="5" name="MSIP_Label_1a718395-49d7-446a-8106-6756e5d3d588_Name">
    <vt:lpwstr>1-Basis Niveau</vt:lpwstr>
  </property>
  <property fmtid="{D5CDD505-2E9C-101B-9397-08002B2CF9AE}" pid="6" name="MSIP_Label_1a718395-49d7-446a-8106-6756e5d3d588_SiteId">
    <vt:lpwstr>476a641b-841a-4350-b906-22d459b1bbaf</vt:lpwstr>
  </property>
  <property fmtid="{D5CDD505-2E9C-101B-9397-08002B2CF9AE}" pid="7" name="MSIP_Label_1a718395-49d7-446a-8106-6756e5d3d588_ActionId">
    <vt:lpwstr>0bfd3282-92aa-474e-9c2e-e51651f1b373</vt:lpwstr>
  </property>
  <property fmtid="{D5CDD505-2E9C-101B-9397-08002B2CF9AE}" pid="8" name="MSIP_Label_1a718395-49d7-446a-8106-6756e5d3d588_ContentBits">
    <vt:lpwstr>0</vt:lpwstr>
  </property>
</Properties>
</file>